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AA0896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055ECB">
        <w:rPr>
          <w:rFonts w:asciiTheme="minorHAnsi" w:eastAsia="Times New Roman" w:hAnsiTheme="minorHAnsi" w:cstheme="minorHAnsi"/>
          <w:b/>
          <w:spacing w:val="2"/>
          <w:sz w:val="20"/>
          <w:szCs w:val="20"/>
        </w:rPr>
        <w:t>Marek Kotrba, Trojanovice 730, 744 01 Frenštát pod Radhoštěm</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D05C56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055ECB">
        <w:rPr>
          <w:rFonts w:ascii="Calibri" w:eastAsia="Calibri" w:hAnsi="Calibri" w:cs="Calibri"/>
          <w:sz w:val="20"/>
          <w:szCs w:val="20"/>
        </w:rPr>
        <w:t>fyzické osoby Marek Kotrba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55ECB"/>
    <w:rsid w:val="00133739"/>
    <w:rsid w:val="001F7DCA"/>
    <w:rsid w:val="003534B7"/>
    <w:rsid w:val="00411E22"/>
    <w:rsid w:val="004C5F3F"/>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1809</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2024-11-06T22:54:00Z</dcterms:created>
  <dcterms:modified xsi:type="dcterms:W3CDTF">2024-11-06T22:54:00Z</dcterms:modified>
</cp:coreProperties>
</file>